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bookmarkStart w:id="0" w:name="_Toc346719504"/>
    </w:p>
    <w:p/>
    <w:p/>
    <w:p/>
    <w:p/>
    <w:p/>
    <w:p/>
    <w:p/>
    <w:p/>
    <w:p/>
    <w:p/>
    <w:p/>
    <w:p>
      <w:pPr>
        <w:widowControl/>
        <w:jc w:val="left"/>
      </w:pPr>
    </w:p>
    <w:p>
      <w:pPr>
        <w:widowControl/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江苏省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公共资源交易电子服务平台</w:t>
      </w:r>
    </w:p>
    <w:p>
      <w:pPr>
        <w:widowControl/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>使用人端操作手册</w:t>
      </w:r>
    </w:p>
    <w:p>
      <w:pPr>
        <w:widowControl/>
        <w:tabs>
          <w:tab w:val="left" w:pos="1245"/>
        </w:tabs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ab/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江苏省公共资源交易中心</w:t>
      </w:r>
    </w:p>
    <w:p>
      <w:pPr>
        <w:widowControl/>
        <w:jc w:val="center"/>
      </w:pPr>
      <w:r>
        <w:rPr>
          <w:rFonts w:hint="eastAsia" w:ascii="楷体" w:hAnsi="楷体" w:eastAsia="楷体"/>
          <w:sz w:val="32"/>
          <w:szCs w:val="32"/>
        </w:rPr>
        <w:t>201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月</w:t>
      </w:r>
    </w:p>
    <w:p>
      <w:pPr>
        <w:widowControl/>
        <w:jc w:val="left"/>
      </w:pPr>
      <w:r>
        <w:rPr>
          <w:rFonts w:hint="eastAsia"/>
          <w:b/>
          <w:bCs/>
          <w:sz w:val="28"/>
          <w:szCs w:val="18"/>
        </w:rPr>
        <w:t>抽取通知管理</w:t>
      </w:r>
      <w:bookmarkEnd w:id="0"/>
    </w:p>
    <w:p>
      <w:pPr>
        <w:pStyle w:val="4"/>
      </w:pPr>
      <w:bookmarkStart w:id="1" w:name="_Toc346719505"/>
      <w:bookmarkStart w:id="2" w:name="_Toc487100338"/>
      <w:r>
        <w:rPr>
          <w:rFonts w:hint="eastAsia"/>
        </w:rPr>
        <w:t>评委抽取</w:t>
      </w:r>
      <w:bookmarkEnd w:id="1"/>
      <w:bookmarkEnd w:id="2"/>
      <w:r>
        <w:rPr>
          <w:rFonts w:hint="eastAsia"/>
          <w:lang w:val="en-US" w:eastAsia="zh-CN"/>
        </w:rPr>
        <w:t>申请</w:t>
      </w:r>
    </w:p>
    <w:p>
      <w:pPr>
        <w:spacing w:line="360" w:lineRule="auto"/>
        <w:ind w:firstLine="420"/>
      </w:pPr>
      <w:r>
        <w:rPr>
          <w:rFonts w:hint="eastAsia"/>
        </w:rPr>
        <w:t>各使用人可以查看该页面。在该页面中，创建项目、抽取评委，并使用“自动通知”的方式通知评委。</w:t>
      </w:r>
    </w:p>
    <w:p>
      <w:pPr>
        <w:pStyle w:val="24"/>
        <w:ind w:firstLine="0" w:firstLineChars="0"/>
        <w:jc w:val="center"/>
      </w:pPr>
      <w:r>
        <w:drawing>
          <wp:inline distT="0" distB="0" distL="114300" distR="114300">
            <wp:extent cx="5267325" cy="1882140"/>
            <wp:effectExtent l="0" t="0" r="952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第1步、新增项目</w:t>
      </w:r>
    </w:p>
    <w:p>
      <w:pPr>
        <w:spacing w:line="360" w:lineRule="auto"/>
        <w:ind w:firstLine="420" w:firstLineChars="200"/>
      </w:pPr>
      <w:r>
        <w:rPr>
          <w:rFonts w:hint="eastAsia"/>
        </w:rPr>
        <w:t>点</w:t>
      </w:r>
      <w:r>
        <w:drawing>
          <wp:inline distT="0" distB="0" distL="0" distR="0">
            <wp:extent cx="980440" cy="35179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0952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，如下图。分为5大内容</w:t>
      </w:r>
    </w:p>
    <w:p>
      <w:pPr>
        <w:spacing w:line="360" w:lineRule="auto"/>
        <w:ind w:firstLine="420" w:firstLineChars="200"/>
      </w:pPr>
    </w:p>
    <w:p>
      <w:pPr>
        <w:pStyle w:val="24"/>
        <w:ind w:firstLine="0" w:firstLineChars="0"/>
        <w:rPr>
          <w:rFonts w:ascii="宋体" w:hAnsi="宋体"/>
        </w:rPr>
      </w:pPr>
      <w:r>
        <w:drawing>
          <wp:inline distT="0" distB="0" distL="114300" distR="114300">
            <wp:extent cx="5263515" cy="1729740"/>
            <wp:effectExtent l="0" t="0" r="13335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1、填写项目基本信息</w:t>
      </w:r>
    </w:p>
    <w:p>
      <w:pPr>
        <w:pStyle w:val="24"/>
        <w:ind w:firstLine="0" w:firstLineChars="0"/>
        <w:rPr>
          <w:rFonts w:ascii="宋体" w:hAnsi="宋体"/>
        </w:rPr>
      </w:pPr>
      <w:r>
        <w:drawing>
          <wp:inline distT="0" distB="0" distL="114300" distR="114300">
            <wp:extent cx="5274310" cy="1917700"/>
            <wp:effectExtent l="0" t="0" r="254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  <w:r>
        <w:rPr>
          <w:rFonts w:hint="eastAsia"/>
        </w:rPr>
        <w:t>有2种方式创建项目：1、手工输入项目信息；2、点【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】从业务流程中获取项目，然后补充完整信息。</w:t>
      </w:r>
    </w:p>
    <w:p>
      <w:pPr>
        <w:spacing w:line="360" w:lineRule="auto"/>
      </w:pPr>
      <w:r>
        <w:rPr>
          <w:rFonts w:hint="eastAsia"/>
        </w:rPr>
        <w:t>2、填写相关的抽取信息</w:t>
      </w:r>
    </w:p>
    <w:p>
      <w:pPr>
        <w:spacing w:line="360" w:lineRule="auto"/>
      </w:pPr>
      <w:r>
        <w:drawing>
          <wp:inline distT="0" distB="0" distL="0" distR="0">
            <wp:extent cx="5274310" cy="1072515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3、填写专业信息</w:t>
      </w:r>
    </w:p>
    <w:p>
      <w:pPr>
        <w:spacing w:line="360" w:lineRule="auto"/>
      </w:pPr>
      <w:r>
        <w:drawing>
          <wp:inline distT="0" distB="0" distL="0" distR="0">
            <wp:extent cx="5274310" cy="68770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点击</w:t>
      </w:r>
      <w:r>
        <w:drawing>
          <wp:inline distT="0" distB="0" distL="0" distR="0">
            <wp:extent cx="1037590" cy="380365"/>
            <wp:effectExtent l="0" t="0" r="0" b="63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按钮，跳转至专业选择界面</w:t>
      </w:r>
    </w:p>
    <w:p>
      <w:pPr>
        <w:spacing w:line="360" w:lineRule="auto"/>
      </w:pPr>
      <w:r>
        <w:drawing>
          <wp:inline distT="0" distB="0" distL="114300" distR="114300">
            <wp:extent cx="5266055" cy="3222625"/>
            <wp:effectExtent l="0" t="0" r="10795" b="158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注：“本地抽取”表示只抽取本地评委；非独立辖区登录只能抽取地级市内不包括独立辖区的评委，独立辖区只能抽到本独立辖区的评委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“</w:t>
      </w:r>
      <w:r>
        <w:rPr>
          <w:rFonts w:hint="eastAsia"/>
          <w:szCs w:val="21"/>
          <w:lang w:val="en-US" w:eastAsia="zh-CN"/>
        </w:rPr>
        <w:t>定向</w:t>
      </w:r>
      <w:r>
        <w:rPr>
          <w:rFonts w:hint="eastAsia"/>
          <w:szCs w:val="21"/>
        </w:rPr>
        <w:t>抽取”，</w:t>
      </w:r>
      <w:r>
        <w:rPr>
          <w:rFonts w:hint="eastAsia"/>
          <w:szCs w:val="21"/>
          <w:lang w:val="en-US" w:eastAsia="zh-CN"/>
        </w:rPr>
        <w:t>是指定地区抽取，如选择“苏州市”，则仅会抽取苏州市的评委</w:t>
      </w:r>
      <w:r>
        <w:rPr>
          <w:rFonts w:hint="eastAsia"/>
          <w:szCs w:val="21"/>
        </w:rPr>
        <w:t>；</w:t>
      </w:r>
    </w:p>
    <w:p>
      <w:pPr>
        <w:spacing w:line="360" w:lineRule="auto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“客场抽取”，是指面向整个江苏省抽取，供远程异地评标使用，仅需设置所需人数和所需地区数即可；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“资深评委”、“应急评委”如果被选中了，则只抽属于此种类型的评委。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选择好专业后，评委地区，</w:t>
      </w:r>
      <w:r>
        <w:rPr>
          <w:szCs w:val="21"/>
        </w:rPr>
        <w:t>点击</w:t>
      </w:r>
      <w:r>
        <w:rPr>
          <w:rFonts w:hint="eastAsia"/>
          <w:szCs w:val="21"/>
        </w:rPr>
        <w:t>确认选择，</w:t>
      </w:r>
      <w:r>
        <w:rPr>
          <w:szCs w:val="21"/>
        </w:rPr>
        <w:t>将</w:t>
      </w:r>
      <w:r>
        <w:rPr>
          <w:rFonts w:hint="eastAsia"/>
          <w:szCs w:val="21"/>
        </w:rPr>
        <w:t>选择好的专业信息保存至专业信息栏</w:t>
      </w:r>
    </w:p>
    <w:p>
      <w:pPr>
        <w:spacing w:line="360" w:lineRule="auto"/>
        <w:rPr>
          <w:szCs w:val="21"/>
        </w:rPr>
      </w:pPr>
      <w:r>
        <w:drawing>
          <wp:inline distT="0" distB="0" distL="114300" distR="114300">
            <wp:extent cx="5271135" cy="970915"/>
            <wp:effectExtent l="0" t="0" r="571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ind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填写好专业所需人数，</w:t>
      </w:r>
      <w:r>
        <w:rPr>
          <w:rFonts w:ascii="宋体" w:hAnsi="宋体"/>
          <w:sz w:val="21"/>
          <w:szCs w:val="21"/>
        </w:rPr>
        <w:t>系统</w:t>
      </w:r>
      <w:r>
        <w:rPr>
          <w:rFonts w:hint="eastAsia" w:ascii="宋体" w:hAnsi="宋体"/>
          <w:sz w:val="21"/>
          <w:szCs w:val="21"/>
        </w:rPr>
        <w:t>按照1:3的比例自动设置需抽人数。该显示展示可以直观展示当前选择的专业人数，</w:t>
      </w:r>
      <w:r>
        <w:rPr>
          <w:rFonts w:ascii="宋体" w:hAnsi="宋体"/>
          <w:sz w:val="21"/>
          <w:szCs w:val="21"/>
        </w:rPr>
        <w:t>是否</w:t>
      </w:r>
      <w:r>
        <w:rPr>
          <w:rFonts w:hint="eastAsia" w:ascii="宋体" w:hAnsi="宋体"/>
          <w:sz w:val="21"/>
          <w:szCs w:val="21"/>
        </w:rPr>
        <w:t>满足需要，</w:t>
      </w:r>
      <w:r>
        <w:rPr>
          <w:rFonts w:ascii="宋体" w:hAnsi="宋体"/>
          <w:sz w:val="21"/>
          <w:szCs w:val="21"/>
        </w:rPr>
        <w:t>如果</w:t>
      </w:r>
      <w:r>
        <w:rPr>
          <w:rFonts w:hint="eastAsia" w:ascii="宋体" w:hAnsi="宋体"/>
          <w:sz w:val="21"/>
          <w:szCs w:val="21"/>
        </w:rPr>
        <w:t>不满足</w:t>
      </w:r>
      <w:bookmarkStart w:id="3" w:name="_GoBack"/>
      <w:bookmarkEnd w:id="3"/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需</w:t>
      </w:r>
      <w:r>
        <w:rPr>
          <w:rFonts w:hint="eastAsia" w:ascii="宋体" w:hAnsi="宋体"/>
          <w:sz w:val="21"/>
          <w:szCs w:val="21"/>
        </w:rPr>
        <w:t>进行更换专业，操作同新增专业方式。</w:t>
      </w:r>
    </w:p>
    <w:p>
      <w:pPr>
        <w:pStyle w:val="24"/>
        <w:ind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4、填写回避信息</w:t>
      </w:r>
    </w:p>
    <w:p>
      <w:pPr>
        <w:pStyle w:val="24"/>
        <w:ind w:firstLine="0" w:firstLineChars="0"/>
        <w:jc w:val="left"/>
        <w:rPr>
          <w:rFonts w:ascii="宋体" w:hAnsi="宋体"/>
          <w:sz w:val="21"/>
          <w:szCs w:val="21"/>
        </w:rPr>
      </w:pPr>
      <w:r>
        <w:drawing>
          <wp:inline distT="0" distB="0" distL="0" distR="0">
            <wp:extent cx="5274310" cy="1094740"/>
            <wp:effectExtent l="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ind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注：该回避信息栏中，</w:t>
      </w:r>
      <w:r>
        <w:rPr>
          <w:rFonts w:ascii="宋体" w:hAnsi="宋体"/>
          <w:sz w:val="21"/>
          <w:szCs w:val="21"/>
        </w:rPr>
        <w:t>系统</w:t>
      </w:r>
      <w:r>
        <w:rPr>
          <w:rFonts w:hint="eastAsia" w:ascii="宋体" w:hAnsi="宋体"/>
          <w:sz w:val="21"/>
          <w:szCs w:val="21"/>
        </w:rPr>
        <w:t>自动回避与项目相关的信息，包括招标人，</w:t>
      </w:r>
      <w:r>
        <w:rPr>
          <w:rFonts w:ascii="宋体" w:hAnsi="宋体"/>
          <w:sz w:val="21"/>
          <w:szCs w:val="21"/>
        </w:rPr>
        <w:t>招标代理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交易</w:t>
      </w:r>
      <w:r>
        <w:rPr>
          <w:rFonts w:hint="eastAsia" w:ascii="宋体" w:hAnsi="宋体"/>
          <w:sz w:val="21"/>
          <w:szCs w:val="21"/>
        </w:rPr>
        <w:t>主体，</w:t>
      </w:r>
      <w:r>
        <w:rPr>
          <w:rFonts w:ascii="宋体" w:hAnsi="宋体"/>
          <w:sz w:val="21"/>
          <w:szCs w:val="21"/>
        </w:rPr>
        <w:t>但</w:t>
      </w:r>
      <w:r>
        <w:rPr>
          <w:rFonts w:hint="eastAsia" w:ascii="宋体" w:hAnsi="宋体"/>
          <w:sz w:val="21"/>
          <w:szCs w:val="21"/>
        </w:rPr>
        <w:t>为了保密起见，</w:t>
      </w:r>
      <w:r>
        <w:rPr>
          <w:rFonts w:ascii="宋体" w:hAnsi="宋体"/>
          <w:sz w:val="21"/>
          <w:szCs w:val="21"/>
        </w:rPr>
        <w:t>默认</w:t>
      </w:r>
      <w:r>
        <w:rPr>
          <w:rFonts w:hint="eastAsia" w:ascii="宋体" w:hAnsi="宋体"/>
          <w:sz w:val="21"/>
          <w:szCs w:val="21"/>
        </w:rPr>
        <w:t>隐藏。</w:t>
      </w:r>
      <w:r>
        <w:rPr>
          <w:rFonts w:ascii="宋体" w:hAnsi="宋体"/>
          <w:sz w:val="21"/>
          <w:szCs w:val="21"/>
        </w:rPr>
        <w:t>该</w:t>
      </w:r>
      <w:r>
        <w:rPr>
          <w:rFonts w:hint="eastAsia" w:ascii="宋体" w:hAnsi="宋体"/>
          <w:sz w:val="21"/>
          <w:szCs w:val="21"/>
        </w:rPr>
        <w:t>回避地区主要针对需要特殊回避的情况进行人工填写，</w:t>
      </w:r>
      <w:r>
        <w:rPr>
          <w:rFonts w:ascii="宋体" w:hAnsi="宋体"/>
          <w:sz w:val="21"/>
          <w:szCs w:val="21"/>
        </w:rPr>
        <w:t>填写</w:t>
      </w:r>
      <w:r>
        <w:rPr>
          <w:rFonts w:hint="eastAsia" w:ascii="宋体" w:hAnsi="宋体"/>
          <w:sz w:val="21"/>
          <w:szCs w:val="21"/>
        </w:rPr>
        <w:t>完成后，</w:t>
      </w:r>
      <w:r>
        <w:rPr>
          <w:rFonts w:ascii="宋体" w:hAnsi="宋体"/>
          <w:sz w:val="21"/>
          <w:szCs w:val="21"/>
        </w:rPr>
        <w:t>即可</w:t>
      </w:r>
      <w:r>
        <w:rPr>
          <w:rFonts w:hint="eastAsia" w:ascii="宋体" w:hAnsi="宋体"/>
          <w:sz w:val="21"/>
          <w:szCs w:val="21"/>
        </w:rPr>
        <w:t>进行相应的回避。</w:t>
      </w:r>
    </w:p>
    <w:p>
      <w:pPr>
        <w:pStyle w:val="24"/>
        <w:ind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</w:t>
      </w:r>
      <w:r>
        <w:rPr>
          <w:rFonts w:ascii="宋体" w:hAnsi="宋体"/>
          <w:sz w:val="21"/>
          <w:szCs w:val="21"/>
        </w:rPr>
        <w:t>填写</w:t>
      </w:r>
      <w:r>
        <w:rPr>
          <w:rFonts w:hint="eastAsia" w:ascii="宋体" w:hAnsi="宋体"/>
          <w:sz w:val="21"/>
          <w:szCs w:val="21"/>
        </w:rPr>
        <w:t>招标人代表信息</w:t>
      </w:r>
    </w:p>
    <w:p>
      <w:pPr>
        <w:pStyle w:val="24"/>
        <w:ind w:firstLine="0" w:firstLineChars="0"/>
        <w:jc w:val="left"/>
        <w:rPr>
          <w:rFonts w:ascii="宋体" w:hAnsi="宋体"/>
          <w:sz w:val="21"/>
          <w:szCs w:val="21"/>
        </w:rPr>
      </w:pPr>
      <w:r>
        <w:drawing>
          <wp:inline distT="0" distB="0" distL="0" distR="0">
            <wp:extent cx="5274310" cy="608965"/>
            <wp:effectExtent l="0" t="0" r="2540" b="63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ind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</w:t>
      </w:r>
      <w:r>
        <w:rPr>
          <w:rFonts w:ascii="宋体" w:hAnsi="宋体"/>
          <w:sz w:val="21"/>
          <w:szCs w:val="21"/>
        </w:rPr>
        <w:t>该</w:t>
      </w:r>
      <w:r>
        <w:rPr>
          <w:rFonts w:hint="eastAsia" w:ascii="宋体" w:hAnsi="宋体"/>
          <w:sz w:val="21"/>
          <w:szCs w:val="21"/>
        </w:rPr>
        <w:t>栏目主要用作登记招标人评委使用，</w:t>
      </w:r>
      <w:r>
        <w:rPr>
          <w:rFonts w:ascii="宋体" w:hAnsi="宋体"/>
          <w:sz w:val="21"/>
          <w:szCs w:val="21"/>
        </w:rPr>
        <w:t>方便</w:t>
      </w:r>
      <w:r>
        <w:rPr>
          <w:rFonts w:hint="eastAsia" w:ascii="宋体" w:hAnsi="宋体"/>
          <w:sz w:val="21"/>
          <w:szCs w:val="21"/>
        </w:rPr>
        <w:t>评标系统直接获取招标人评委信息，</w:t>
      </w:r>
      <w:r>
        <w:rPr>
          <w:rFonts w:ascii="宋体" w:hAnsi="宋体"/>
          <w:sz w:val="21"/>
          <w:szCs w:val="21"/>
        </w:rPr>
        <w:t>方便</w:t>
      </w:r>
      <w:r>
        <w:rPr>
          <w:rFonts w:hint="eastAsia" w:ascii="宋体" w:hAnsi="宋体"/>
          <w:sz w:val="21"/>
          <w:szCs w:val="21"/>
        </w:rPr>
        <w:t>信息的记录，</w:t>
      </w:r>
      <w:r>
        <w:rPr>
          <w:rFonts w:ascii="宋体" w:hAnsi="宋体"/>
          <w:sz w:val="21"/>
          <w:szCs w:val="21"/>
        </w:rPr>
        <w:t>如</w:t>
      </w:r>
      <w:r>
        <w:rPr>
          <w:rFonts w:hint="eastAsia" w:ascii="宋体" w:hAnsi="宋体"/>
          <w:sz w:val="21"/>
          <w:szCs w:val="21"/>
        </w:rPr>
        <w:t>没有，</w:t>
      </w:r>
      <w:r>
        <w:rPr>
          <w:rFonts w:ascii="宋体" w:hAnsi="宋体"/>
          <w:sz w:val="21"/>
          <w:szCs w:val="21"/>
        </w:rPr>
        <w:t>可</w:t>
      </w:r>
      <w:r>
        <w:rPr>
          <w:rFonts w:hint="eastAsia" w:ascii="宋体" w:hAnsi="宋体"/>
          <w:sz w:val="21"/>
          <w:szCs w:val="21"/>
        </w:rPr>
        <w:t>不填。</w:t>
      </w:r>
    </w:p>
    <w:p>
      <w:pPr>
        <w:pStyle w:val="24"/>
        <w:ind w:firstLine="0"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第2步、</w:t>
      </w:r>
      <w:r>
        <w:rPr>
          <w:b/>
          <w:sz w:val="21"/>
          <w:szCs w:val="21"/>
        </w:rPr>
        <w:t>提交</w:t>
      </w:r>
      <w:r>
        <w:rPr>
          <w:rFonts w:hint="eastAsia"/>
          <w:b/>
          <w:sz w:val="21"/>
          <w:szCs w:val="21"/>
        </w:rPr>
        <w:t>审核</w:t>
      </w:r>
    </w:p>
    <w:p>
      <w:pPr>
        <w:pStyle w:val="24"/>
        <w:ind w:firstLine="0" w:firstLineChars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申请信息填写完成后，</w:t>
      </w:r>
      <w:r>
        <w:rPr>
          <w:rFonts w:hint="eastAsia" w:ascii="宋体" w:hAnsi="宋体"/>
          <w:sz w:val="21"/>
          <w:szCs w:val="21"/>
          <w:lang w:val="en-US" w:eastAsia="zh-CN"/>
        </w:rPr>
        <w:t>点击“下一步”</w:t>
      </w:r>
      <w:r>
        <w:rPr>
          <w:rFonts w:ascii="宋体" w:hAnsi="宋体"/>
          <w:sz w:val="21"/>
          <w:szCs w:val="21"/>
        </w:rPr>
        <w:t>即可</w:t>
      </w:r>
      <w:r>
        <w:rPr>
          <w:rFonts w:hint="eastAsia" w:ascii="宋体" w:hAnsi="宋体"/>
          <w:sz w:val="21"/>
          <w:szCs w:val="21"/>
          <w:lang w:val="en-US" w:eastAsia="zh-CN"/>
        </w:rPr>
        <w:t>打开申请查看页面。</w:t>
      </w:r>
    </w:p>
    <w:p>
      <w:pPr>
        <w:pStyle w:val="24"/>
        <w:ind w:firstLine="0" w:firstLineChars="0"/>
        <w:jc w:val="left"/>
      </w:pPr>
      <w:r>
        <w:drawing>
          <wp:inline distT="0" distB="0" distL="114300" distR="114300">
            <wp:extent cx="5271770" cy="2373630"/>
            <wp:effectExtent l="0" t="0" r="5080" b="762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ind w:firstLine="0" w:firstLineChars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然后点击“提交”按钮，由主管部门审核通过后，即可开始抽取、通知。若审核不通过，则会退回给使用人，需要使用人重新修改调整。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第3步、抽取</w:t>
      </w:r>
      <w:r>
        <w:rPr>
          <w:rFonts w:hint="eastAsia"/>
          <w:b/>
          <w:szCs w:val="21"/>
          <w:lang w:eastAsia="zh-CN"/>
        </w:rPr>
        <w:t>、</w:t>
      </w:r>
      <w:r>
        <w:rPr>
          <w:rFonts w:hint="eastAsia"/>
          <w:b/>
          <w:szCs w:val="21"/>
          <w:lang w:val="en-US" w:eastAsia="zh-CN"/>
        </w:rPr>
        <w:t>通知</w:t>
      </w:r>
      <w:r>
        <w:rPr>
          <w:rFonts w:hint="eastAsia"/>
          <w:b/>
          <w:szCs w:val="21"/>
        </w:rPr>
        <w:t>评委</w:t>
      </w:r>
    </w:p>
    <w:p>
      <w:r>
        <w:rPr>
          <w:rFonts w:hint="eastAsia"/>
        </w:rPr>
        <w:t>中心审核人员登录管理端，</w:t>
      </w:r>
      <w:r>
        <w:rPr>
          <w:rFonts w:hint="eastAsia"/>
          <w:lang w:val="en-US" w:eastAsia="zh-CN"/>
        </w:rPr>
        <w:t>在代办事宜中审核抽取申请，若审核通过，则系统自动抽取并通知专家；若审核不通过，则会回退给使用人，由使用人修改重新提交</w:t>
      </w:r>
      <w:r>
        <w:rPr>
          <w:rFonts w:hint="eastAsia"/>
        </w:rPr>
        <w:t>。</w:t>
      </w:r>
    </w:p>
    <w:p>
      <w:pPr>
        <w:rPr>
          <w:szCs w:val="21"/>
        </w:rPr>
      </w:pPr>
      <w:r>
        <w:drawing>
          <wp:inline distT="0" distB="0" distL="114300" distR="114300">
            <wp:extent cx="5266055" cy="2368550"/>
            <wp:effectExtent l="0" t="0" r="10795" b="1270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第4步、</w:t>
      </w:r>
      <w:r>
        <w:rPr>
          <w:b/>
          <w:szCs w:val="21"/>
        </w:rPr>
        <w:t>通知</w:t>
      </w:r>
      <w:r>
        <w:rPr>
          <w:rFonts w:hint="eastAsia"/>
          <w:b/>
          <w:szCs w:val="21"/>
        </w:rPr>
        <w:t>评委</w:t>
      </w:r>
    </w:p>
    <w:p>
      <w:pPr>
        <w:spacing w:line="360" w:lineRule="auto"/>
        <w:ind w:firstLine="420"/>
        <w:rPr>
          <w:szCs w:val="21"/>
        </w:rPr>
      </w:pPr>
      <w:r>
        <w:drawing>
          <wp:inline distT="0" distB="0" distL="0" distR="0">
            <wp:extent cx="5274310" cy="2390775"/>
            <wp:effectExtent l="0" t="0" r="254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Cs w:val="21"/>
        </w:rPr>
      </w:pPr>
      <w:r>
        <w:drawing>
          <wp:inline distT="0" distB="0" distL="0" distR="0">
            <wp:extent cx="5274310" cy="236537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通知过程中，可以点</w:t>
      </w:r>
      <w:r>
        <w:drawing>
          <wp:inline distT="0" distB="0" distL="0" distR="0">
            <wp:extent cx="999490" cy="33274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，系统会暂停通知新的评委，等所有正在进行的通话结束后自动通知就会停止。点继续通知过程。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如果可以参加的人数达到了满足条件，自动通知会停止。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通知结果可以通过打印按钮打印出来。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同时如果项目需要采用人工通知，</w:t>
      </w:r>
      <w:r>
        <w:rPr>
          <w:szCs w:val="21"/>
        </w:rPr>
        <w:t>可以</w:t>
      </w:r>
      <w:r>
        <w:rPr>
          <w:rFonts w:hint="eastAsia"/>
          <w:szCs w:val="21"/>
        </w:rPr>
        <w:t>在通知的时候选择转人工通知。选择人工通知，</w:t>
      </w:r>
      <w:r>
        <w:rPr>
          <w:szCs w:val="21"/>
        </w:rPr>
        <w:t>即可</w:t>
      </w:r>
      <w:r>
        <w:rPr>
          <w:rFonts w:hint="eastAsia"/>
          <w:szCs w:val="21"/>
        </w:rPr>
        <w:t>展示抽取专家的所有信息。</w:t>
      </w:r>
    </w:p>
    <w:p>
      <w:pPr>
        <w:pStyle w:val="24"/>
        <w:ind w:firstLine="0" w:firstLineChars="0"/>
        <w:jc w:val="center"/>
        <w:rPr>
          <w:rFonts w:ascii="宋体" w:hAnsi="宋体"/>
          <w:sz w:val="21"/>
          <w:szCs w:val="21"/>
        </w:rPr>
      </w:pPr>
    </w:p>
    <w:p>
      <w:pPr>
        <w:pStyle w:val="24"/>
        <w:ind w:firstLine="0" w:firstLineChars="0"/>
        <w:jc w:val="left"/>
        <w:rPr>
          <w:rFonts w:ascii="宋体" w:hAnsi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ascii="Verdana" w:hAnsi="Verdana"/>
      </w:rPr>
      <w:t>技术支持：</w:t>
    </w:r>
    <w:r>
      <w:rPr>
        <w:rFonts w:ascii="Verdana" w:hAnsi="Verdana"/>
      </w:rPr>
      <w:t>江苏国泰新点软件有限公司</w:t>
    </w:r>
    <w:r>
      <w:rPr>
        <w:rFonts w:hint="eastAsia"/>
      </w:rPr>
      <w:t xml:space="preserve">          </w:t>
    </w:r>
    <w:r>
      <w:t>http://</w:t>
    </w:r>
    <w:r>
      <w:rPr>
        <w:color w:val="000000"/>
      </w:rPr>
      <w:t xml:space="preserve"> www.epoint.</w:t>
    </w:r>
    <w:r>
      <w:rPr>
        <w:rFonts w:hint="eastAsia"/>
        <w:color w:val="000000"/>
      </w:rPr>
      <w:t>com.cn</w:t>
    </w:r>
    <w:r>
      <w:rPr>
        <w:rFonts w:hint="eastAsia"/>
      </w:rPr>
      <w:t xml:space="preserve">         Tel: </w:t>
    </w:r>
    <w:r>
      <w:rPr>
        <w:color w:val="000000"/>
      </w:rPr>
      <w:t>0</w:t>
    </w:r>
    <w:r>
      <w:rPr>
        <w:rFonts w:hint="eastAsia"/>
        <w:color w:val="000000"/>
      </w:rPr>
      <w:t>512</w:t>
    </w:r>
    <w:r>
      <w:rPr>
        <w:color w:val="000000"/>
      </w:rPr>
      <w:t>-5</w:t>
    </w:r>
    <w:r>
      <w:rPr>
        <w:rFonts w:hint="eastAsia"/>
        <w:color w:val="000000"/>
      </w:rPr>
      <w:t>8188000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sz w:val="20"/>
      </w:rPr>
      <w:drawing>
        <wp:inline distT="0" distB="0" distL="0" distR="0">
          <wp:extent cx="723900" cy="2667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使用人操作手册</w:t>
    </w:r>
    <w:r>
      <w:rPr>
        <w:rFonts w:hint="eastAsia"/>
        <w:szCs w:val="21"/>
      </w:rPr>
      <w:t xml:space="preserve">                    </w:t>
    </w:r>
    <w:r>
      <w:rPr>
        <w:rFonts w:hint="eastAsia"/>
      </w:rPr>
      <w:t xml:space="preserve">                             </w:t>
    </w:r>
    <w:r>
      <w:rPr>
        <w:rFonts w:hint="eastAsia" w:ascii="宋体" w:hAnsi="宋体"/>
      </w:rPr>
      <w:t>第-</w:t>
    </w: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4</w:t>
    </w:r>
    <w:r>
      <w:fldChar w:fldCharType="end"/>
    </w:r>
    <w:r>
      <w:rPr>
        <w:rFonts w:hint="eastAsia" w:ascii="宋体" w:hAnsi="宋体"/>
      </w:rPr>
      <w:t>-页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F4AB3"/>
    <w:multiLevelType w:val="multilevel"/>
    <w:tmpl w:val="6A2F4AB3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567" w:hanging="567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1069" w:hanging="1069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ind w:left="851" w:hanging="851"/>
      </w:pPr>
      <w:rPr>
        <w:rFonts w:hint="default" w:ascii="Times New Roman" w:hAnsi="Times New Roman" w:eastAsia="宋体" w:cs="Times New Roman"/>
        <w:sz w:val="24"/>
        <w:szCs w:val="24"/>
      </w:rPr>
    </w:lvl>
    <w:lvl w:ilvl="4" w:tentative="0">
      <w:start w:val="1"/>
      <w:numFmt w:val="decimal"/>
      <w:pStyle w:val="6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、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44"/>
    <w:rsid w:val="0007105F"/>
    <w:rsid w:val="00080B65"/>
    <w:rsid w:val="00120541"/>
    <w:rsid w:val="00194B44"/>
    <w:rsid w:val="0042244E"/>
    <w:rsid w:val="00492F4A"/>
    <w:rsid w:val="00523F86"/>
    <w:rsid w:val="006E1D8E"/>
    <w:rsid w:val="0075684C"/>
    <w:rsid w:val="007972C1"/>
    <w:rsid w:val="007D5239"/>
    <w:rsid w:val="00853069"/>
    <w:rsid w:val="00883F9C"/>
    <w:rsid w:val="008B58C0"/>
    <w:rsid w:val="009D167F"/>
    <w:rsid w:val="00A574D4"/>
    <w:rsid w:val="00B865DB"/>
    <w:rsid w:val="00BF1E44"/>
    <w:rsid w:val="00C23D7C"/>
    <w:rsid w:val="00C565D7"/>
    <w:rsid w:val="00C83925"/>
    <w:rsid w:val="00DB5E25"/>
    <w:rsid w:val="00E51B44"/>
    <w:rsid w:val="60C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ind w:left="0" w:firstLine="0"/>
      <w:outlineLvl w:val="0"/>
    </w:pPr>
    <w:rPr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ind w:left="0" w:firstLine="0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ind w:left="0" w:firstLine="0"/>
      <w:outlineLvl w:val="2"/>
    </w:pPr>
    <w:rPr>
      <w:b/>
      <w:bCs/>
      <w:sz w:val="28"/>
      <w:szCs w:val="18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120" w:after="120" w:line="360" w:lineRule="auto"/>
      <w:ind w:left="0" w:firstLine="0"/>
      <w:outlineLvl w:val="3"/>
    </w:pPr>
    <w:rPr>
      <w:b/>
      <w:bCs/>
      <w:sz w:val="24"/>
      <w:szCs w:val="28"/>
    </w:rPr>
  </w:style>
  <w:style w:type="paragraph" w:styleId="6">
    <w:name w:val="heading 5"/>
    <w:basedOn w:val="1"/>
    <w:next w:val="1"/>
    <w:link w:val="22"/>
    <w:unhideWhenUsed/>
    <w:qFormat/>
    <w:uiPriority w:val="0"/>
    <w:pPr>
      <w:keepNext/>
      <w:keepLines/>
      <w:numPr>
        <w:ilvl w:val="4"/>
        <w:numId w:val="1"/>
      </w:numPr>
      <w:spacing w:before="120" w:after="120" w:line="360" w:lineRule="auto"/>
      <w:ind w:left="0" w:firstLine="0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3"/>
    <w:unhideWhenUsed/>
    <w:qFormat/>
    <w:uiPriority w:val="0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mbria" w:hAnsi="Cambria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uiPriority w:val="39"/>
    <w:pPr>
      <w:ind w:left="840" w:leftChars="400"/>
    </w:p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11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10"/>
    <w:uiPriority w:val="99"/>
    <w:rPr>
      <w:sz w:val="18"/>
      <w:szCs w:val="18"/>
    </w:rPr>
  </w:style>
  <w:style w:type="character" w:customStyle="1" w:styleId="18">
    <w:name w:val="标题 1 Char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32"/>
      <w:szCs w:val="28"/>
    </w:rPr>
  </w:style>
  <w:style w:type="character" w:customStyle="1" w:styleId="19">
    <w:name w:val="标题 2 Char"/>
    <w:basedOn w:val="12"/>
    <w:link w:val="3"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20">
    <w:name w:val="标题 3 Char"/>
    <w:basedOn w:val="12"/>
    <w:link w:val="4"/>
    <w:qFormat/>
    <w:uiPriority w:val="0"/>
    <w:rPr>
      <w:rFonts w:ascii="Times New Roman" w:hAnsi="Times New Roman" w:eastAsia="宋体" w:cs="Times New Roman"/>
      <w:b/>
      <w:bCs/>
      <w:sz w:val="28"/>
      <w:szCs w:val="18"/>
    </w:rPr>
  </w:style>
  <w:style w:type="character" w:customStyle="1" w:styleId="21">
    <w:name w:val="标题 4 Char"/>
    <w:basedOn w:val="12"/>
    <w:link w:val="5"/>
    <w:uiPriority w:val="0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22">
    <w:name w:val="标题 5 Char"/>
    <w:basedOn w:val="12"/>
    <w:link w:val="6"/>
    <w:qFormat/>
    <w:uiPriority w:val="0"/>
    <w:rPr>
      <w:rFonts w:ascii="Times New Roman" w:hAnsi="Times New Roman" w:eastAsia="宋体" w:cs="Times New Roman"/>
      <w:b/>
      <w:bCs/>
      <w:szCs w:val="28"/>
    </w:rPr>
  </w:style>
  <w:style w:type="character" w:customStyle="1" w:styleId="23">
    <w:name w:val="标题 6 Char"/>
    <w:basedOn w:val="12"/>
    <w:link w:val="7"/>
    <w:uiPriority w:val="0"/>
    <w:rPr>
      <w:rFonts w:ascii="Cambria" w:hAnsi="Cambria" w:eastAsia="宋体" w:cs="Times New Roman"/>
      <w:b/>
      <w:bCs/>
      <w:sz w:val="24"/>
      <w:szCs w:val="24"/>
    </w:rPr>
  </w:style>
  <w:style w:type="paragraph" w:customStyle="1" w:styleId="24">
    <w:name w:val="Indent Normal"/>
    <w:basedOn w:val="1"/>
    <w:qFormat/>
    <w:uiPriority w:val="0"/>
    <w:pPr>
      <w:spacing w:line="360" w:lineRule="auto"/>
      <w:ind w:firstLine="150" w:firstLineChars="150"/>
    </w:pPr>
    <w:rPr>
      <w:sz w:val="24"/>
    </w:rPr>
  </w:style>
  <w:style w:type="character" w:customStyle="1" w:styleId="25">
    <w:name w:val="批注框文本 Char"/>
    <w:basedOn w:val="12"/>
    <w:link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21F4B-E7C9-4365-824B-12CBA1548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838</Characters>
  <Lines>6</Lines>
  <Paragraphs>1</Paragraphs>
  <ScaleCrop>false</ScaleCrop>
  <LinksUpToDate>false</LinksUpToDate>
  <CharactersWithSpaces>984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2017-09-03T02:59:00Z</dcterms:created>
  <dc:creator>cc</dc:creator>
  <cp:lastModifiedBy>残雪</cp:lastModifiedBy>
  <dcterms:modified xsi:type="dcterms:W3CDTF">2018-03-14T02:40:30Z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